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4EB" w:rsidRPr="001C4872" w:rsidRDefault="009444EB" w:rsidP="009444EB">
      <w:pPr>
        <w:pBdr>
          <w:bottom w:val="single" w:sz="4" w:space="1" w:color="auto"/>
        </w:pBdr>
        <w:spacing w:line="360" w:lineRule="auto"/>
        <w:jc w:val="center"/>
        <w:outlineLvl w:val="0"/>
        <w:rPr>
          <w:rFonts w:ascii="Times New Roman" w:hAnsi="Times New Roman"/>
          <w:sz w:val="32"/>
          <w:szCs w:val="28"/>
        </w:rPr>
      </w:pPr>
      <w:r w:rsidRPr="001C4872">
        <w:rPr>
          <w:rFonts w:ascii="Times New Roman" w:hAnsi="Times New Roman"/>
          <w:sz w:val="32"/>
          <w:szCs w:val="28"/>
        </w:rPr>
        <w:t>ENTE ……………………………….</w:t>
      </w:r>
    </w:p>
    <w:p w:rsidR="009444EB" w:rsidRPr="001C4872" w:rsidRDefault="009444EB" w:rsidP="009444EB">
      <w:pPr>
        <w:spacing w:line="360" w:lineRule="auto"/>
        <w:jc w:val="both"/>
        <w:rPr>
          <w:rFonts w:ascii="Times New Roman" w:hAnsi="Times New Roman"/>
          <w:szCs w:val="24"/>
        </w:rPr>
      </w:pPr>
    </w:p>
    <w:p w:rsidR="009444EB" w:rsidRPr="001C4872" w:rsidRDefault="009444EB" w:rsidP="009444EB">
      <w:pPr>
        <w:spacing w:line="360" w:lineRule="auto"/>
        <w:jc w:val="center"/>
        <w:outlineLvl w:val="0"/>
        <w:rPr>
          <w:rFonts w:ascii="Times New Roman" w:hAnsi="Times New Roman"/>
          <w:szCs w:val="24"/>
        </w:rPr>
      </w:pPr>
      <w:r w:rsidRPr="001C4872">
        <w:rPr>
          <w:rFonts w:ascii="Times New Roman" w:hAnsi="Times New Roman"/>
          <w:szCs w:val="24"/>
        </w:rPr>
        <w:t xml:space="preserve">PROPOSTA DI DELIBERAZIONE DI GIUNTA </w:t>
      </w:r>
    </w:p>
    <w:p w:rsidR="009444EB" w:rsidRPr="001C4872" w:rsidRDefault="009444EB" w:rsidP="009444EB">
      <w:pPr>
        <w:spacing w:line="360" w:lineRule="auto"/>
        <w:jc w:val="center"/>
        <w:rPr>
          <w:rFonts w:ascii="Times New Roman" w:hAnsi="Times New Roman"/>
          <w:szCs w:val="24"/>
        </w:rPr>
      </w:pPr>
      <w:r w:rsidRPr="001C4872">
        <w:rPr>
          <w:rFonts w:ascii="Times New Roman" w:hAnsi="Times New Roman"/>
          <w:szCs w:val="24"/>
        </w:rPr>
        <w:t>N. ……………DEL ……….</w:t>
      </w:r>
    </w:p>
    <w:p w:rsidR="009444EB" w:rsidRPr="00900379" w:rsidRDefault="009444EB" w:rsidP="009444EB">
      <w:pPr>
        <w:jc w:val="both"/>
        <w:rPr>
          <w:rFonts w:ascii="Times New Roman" w:hAnsi="Times New Roman"/>
          <w:b/>
          <w:sz w:val="24"/>
          <w:szCs w:val="24"/>
        </w:rPr>
      </w:pPr>
      <w:r w:rsidRPr="00900379">
        <w:rPr>
          <w:rFonts w:ascii="Times New Roman" w:hAnsi="Times New Roman"/>
          <w:sz w:val="24"/>
          <w:szCs w:val="24"/>
        </w:rPr>
        <w:t xml:space="preserve">OGGETTO: </w:t>
      </w:r>
      <w:r w:rsidR="00900379">
        <w:rPr>
          <w:rFonts w:ascii="Times New Roman" w:hAnsi="Times New Roman"/>
          <w:b/>
          <w:sz w:val="24"/>
          <w:szCs w:val="24"/>
        </w:rPr>
        <w:t>N</w:t>
      </w:r>
      <w:r w:rsidRPr="00900379">
        <w:rPr>
          <w:rFonts w:ascii="Times New Roman" w:hAnsi="Times New Roman"/>
          <w:b/>
          <w:sz w:val="24"/>
          <w:szCs w:val="24"/>
        </w:rPr>
        <w:t xml:space="preserve">omina del responsabile della transizione alla modalità operativa digitale, ai sensi dell'art. 17, commi 1 e 1 ter, del d. Lgs 82/2005 (codice dell'amministrazione digitale) </w:t>
      </w:r>
    </w:p>
    <w:p w:rsidR="009444EB" w:rsidRPr="001C4872" w:rsidRDefault="009444EB" w:rsidP="009444EB">
      <w:pPr>
        <w:pBdr>
          <w:bottom w:val="single" w:sz="4" w:space="1" w:color="auto"/>
        </w:pBdr>
        <w:spacing w:line="360" w:lineRule="auto"/>
        <w:jc w:val="center"/>
        <w:rPr>
          <w:rFonts w:ascii="Times New Roman" w:hAnsi="Times New Roman"/>
          <w:szCs w:val="24"/>
        </w:rPr>
      </w:pPr>
    </w:p>
    <w:p w:rsidR="009444EB" w:rsidRPr="001C4872" w:rsidRDefault="009444EB" w:rsidP="009444EB">
      <w:pPr>
        <w:spacing w:line="360" w:lineRule="auto"/>
        <w:jc w:val="both"/>
        <w:rPr>
          <w:rFonts w:ascii="Times New Roman" w:hAnsi="Times New Roman"/>
          <w:szCs w:val="24"/>
        </w:rPr>
      </w:pPr>
      <w:bookmarkStart w:id="0" w:name="_GoBack"/>
      <w:bookmarkEnd w:id="0"/>
    </w:p>
    <w:p w:rsidR="009444EB" w:rsidRPr="00900379" w:rsidRDefault="009444EB" w:rsidP="009444EB">
      <w:pPr>
        <w:jc w:val="center"/>
        <w:outlineLvl w:val="0"/>
        <w:rPr>
          <w:rFonts w:ascii="Times New Roman" w:hAnsi="Times New Roman"/>
          <w:b/>
          <w:sz w:val="28"/>
          <w:szCs w:val="28"/>
        </w:rPr>
      </w:pPr>
      <w:r w:rsidRPr="00900379">
        <w:rPr>
          <w:rFonts w:ascii="Times New Roman" w:hAnsi="Times New Roman"/>
          <w:b/>
          <w:sz w:val="28"/>
          <w:szCs w:val="28"/>
        </w:rPr>
        <w:t xml:space="preserve">LA GIUNTA </w:t>
      </w:r>
    </w:p>
    <w:p w:rsidR="009444EB" w:rsidRPr="009444EB" w:rsidRDefault="009444EB" w:rsidP="009444EB">
      <w:pPr>
        <w:jc w:val="both"/>
        <w:rPr>
          <w:rFonts w:ascii="Times New Roman" w:hAnsi="Times New Roman"/>
          <w:sz w:val="24"/>
          <w:szCs w:val="24"/>
        </w:rPr>
      </w:pPr>
      <w:r w:rsidRPr="009444EB">
        <w:rPr>
          <w:rFonts w:ascii="Times New Roman" w:hAnsi="Times New Roman"/>
          <w:sz w:val="24"/>
          <w:szCs w:val="24"/>
        </w:rPr>
        <w:t>Premesso che:</w:t>
      </w:r>
    </w:p>
    <w:p w:rsidR="00576559" w:rsidRPr="00576559" w:rsidRDefault="00576559" w:rsidP="009444EB">
      <w:pPr>
        <w:pStyle w:val="Default"/>
        <w:spacing w:after="287"/>
        <w:jc w:val="both"/>
      </w:pPr>
      <w:r w:rsidRPr="00576559">
        <w:t xml:space="preserve">il decreto legislativo 179/2016, in attuazione della legge 124/2015 di riforma della pubblica amministrazione (cd. legge Madia), ha innovato in modo significativo il decreto legislativo 82/2005 (Codice dell’Amministrazione digitale); </w:t>
      </w:r>
    </w:p>
    <w:p w:rsidR="00576559" w:rsidRPr="00576559" w:rsidRDefault="00576559" w:rsidP="009444EB">
      <w:pPr>
        <w:pStyle w:val="Default"/>
        <w:spacing w:after="287"/>
        <w:jc w:val="both"/>
      </w:pPr>
      <w:r w:rsidRPr="00576559">
        <w:t xml:space="preserve">le importanti novità, introdotte nel testo del decreto legislativo 82/2005, sono improntate a principi di semplificazione normativa ed amministrativa così da rendere la codificazione digitale un comparto di regole e strumenti operativi capaci, da un lato, di relazionare la pubblica amministrazione ai continui mutamenti tecnologici della società, in una logica di costante work in progress e, dall’altro, di attuare la diffusione di una cultura digitale dei cittadini e delle imprese. </w:t>
      </w:r>
    </w:p>
    <w:p w:rsidR="00576559" w:rsidRPr="00576559" w:rsidRDefault="00576559" w:rsidP="009444EB">
      <w:pPr>
        <w:pStyle w:val="Default"/>
        <w:spacing w:after="287"/>
        <w:jc w:val="both"/>
      </w:pPr>
      <w:r w:rsidRPr="00576559">
        <w:t xml:space="preserve">Rilevato che: </w:t>
      </w:r>
    </w:p>
    <w:p w:rsidR="00576559" w:rsidRPr="00576559" w:rsidRDefault="00576559" w:rsidP="009444EB">
      <w:pPr>
        <w:pStyle w:val="Default"/>
        <w:spacing w:after="287"/>
        <w:jc w:val="both"/>
      </w:pPr>
      <w:r w:rsidRPr="00576559">
        <w:t xml:space="preserve">il processo di riforma pone in capo ad ogni amministrazione pubblica la funzione di garantire l'attuazione delle linee strategiche per la riorganizzazione e la digitalizzazione, centralizzando in capo ad un ufficio unico il compito di conduzione del processo di transizione alla modalità operativa digitale ed altresì dei correlati processi di riorganizzazione, nell’ottica di perseguire il generale obiettivo di realizzare un'amministrazione digitale e aperta, dotata di servizi facilmente utilizzabili e di qualità, attraverso una maggiore efficienza ed economicità; </w:t>
      </w:r>
    </w:p>
    <w:p w:rsidR="00576559" w:rsidRPr="00576559" w:rsidRDefault="00576559" w:rsidP="00900379">
      <w:pPr>
        <w:pStyle w:val="Default"/>
        <w:jc w:val="both"/>
      </w:pPr>
      <w:r w:rsidRPr="00576559">
        <w:t>coerentemente, il novellato articolo 17 (Strutture per l'organizzazione, l'innovazione e le tecnologie) del decreto legislativo 82/2005 disciplina puntualmente la figura del Responsabile della transizione alla modalità operativa digitale: “</w:t>
      </w:r>
      <w:r w:rsidRPr="00576559">
        <w:rPr>
          <w:i/>
          <w:iCs/>
        </w:rPr>
        <w:t>Le pubbliche amministrazioni garantiscono l'attuazione delle linee strategiche per la riorganizzazione e la digitalizzazione dell'amministrazione definite dal Governo in coerenza con le regole tecniche di cui all'articolo 71. A tal fine, ciascuno dei predetti soggetti affida a un unico ufficio dirigenziale generale, fermo restando il numero complessivo di tali uffici, la transizione alla modalità operativa digitale e i conseguenti processi di riorganizzazione finalizzati alla realizzazione di un'amministrazione digitale e aperta, di servizi facilmente utilizzabili e di qualità, attraverso una maggiore efficienza ed economicità</w:t>
      </w:r>
      <w:r w:rsidRPr="00576559">
        <w:t xml:space="preserve">.” </w:t>
      </w:r>
    </w:p>
    <w:p w:rsidR="00576559" w:rsidRPr="00576559" w:rsidRDefault="00576559" w:rsidP="00576559">
      <w:pPr>
        <w:pStyle w:val="Default"/>
      </w:pPr>
    </w:p>
    <w:p w:rsidR="00576559" w:rsidRPr="00900379" w:rsidRDefault="00576559" w:rsidP="00900379">
      <w:pPr>
        <w:pStyle w:val="Default"/>
        <w:jc w:val="both"/>
        <w:rPr>
          <w:iCs/>
        </w:rPr>
      </w:pPr>
      <w:r w:rsidRPr="00900379">
        <w:rPr>
          <w:iCs/>
        </w:rPr>
        <w:t xml:space="preserve">Al suddetto ufficio sono inoltre attribuiti i compiti relativi a: </w:t>
      </w:r>
    </w:p>
    <w:p w:rsidR="00900379" w:rsidRP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a) coordinamento strategico dello sviluppo dei sistemi informativi, di telecomunicazione e fonia, in modo da assicurare anche la coerenza con gli standard tecnici e organizzativi comuni; </w:t>
      </w:r>
    </w:p>
    <w:p w:rsidR="00900379" w:rsidRPr="00900379" w:rsidRDefault="00900379" w:rsidP="00900379">
      <w:pPr>
        <w:pStyle w:val="Default"/>
        <w:jc w:val="both"/>
        <w:rPr>
          <w:iCs/>
        </w:rPr>
      </w:pPr>
    </w:p>
    <w:p w:rsidR="00576559" w:rsidRPr="00900379" w:rsidRDefault="00576559" w:rsidP="00900379">
      <w:pPr>
        <w:pStyle w:val="Default"/>
        <w:jc w:val="both"/>
        <w:rPr>
          <w:iCs/>
        </w:rPr>
      </w:pPr>
      <w:r w:rsidRPr="00900379">
        <w:rPr>
          <w:iCs/>
        </w:rPr>
        <w:lastRenderedPageBreak/>
        <w:t xml:space="preserve">b) indirizzo e coordinamento dello sviluppo dei servizi, sia interni che esterni, forniti dai sistemi informativi di telecomunicazione e fonia dell'amministrazione; </w:t>
      </w:r>
    </w:p>
    <w:p w:rsid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c) indirizzo, pianificazione, coordinamento e monitoraggio della sicurezza informatica relativamente ai dati, ai sistemi e alle infrastrutture anche in relazione al sistema pubblico di connettività, nel rispetto delle regole tecniche di cui all'articolo 51, comma 1 del decreto legislativo medesimo; </w:t>
      </w:r>
    </w:p>
    <w:p w:rsidR="00900379" w:rsidRP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d) accesso dei soggetti disabili agli strumenti informatici e promozione dell’accessibilità anche in attuazione di quanto previsto dalla legge 9 gennaio 2004, n. 4 (Disposizioni per favorire l'accesso dei soggetti disabili agli strumenti informatici); </w:t>
      </w:r>
    </w:p>
    <w:p w:rsid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e) analisi periodica della coerenza tra l'organizzazione dell'amministrazione e l'utilizzo delle tecnologie dell'informazione e della comunicazione, al fine di migliorare la soddisfazione dell'utenza e la qualità dei servizi nonché di ridurre i tempi e i costi dell'azione amministrativa; </w:t>
      </w:r>
    </w:p>
    <w:p w:rsid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f) cooperazione alla revisione della riorganizzazione dell'amministrazione ai fini di cui alla lettera e); </w:t>
      </w:r>
    </w:p>
    <w:p w:rsid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g) indirizzo, coordinamento e monitoraggio della pianificazione prevista per lo sviluppo e la gestione dei sistemi informativi di telecomunicazione e fonia; </w:t>
      </w:r>
    </w:p>
    <w:p w:rsid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h) progettazione e coordinamento delle iniziative rilevanti ai fini di una più efficace erogazione di servizi in rete a cittadini e imprese mediante gli strumenti della cooperazione applicativa tra pubbliche amministrazioni, ivi inclusa la predisposizione e l'attuazione di accordi di servizio tra amministrazioni per la realizzazione e compartecipazione dei sistemi informativi cooperativi; </w:t>
      </w:r>
    </w:p>
    <w:p w:rsid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i) promozione delle iniziative attinenti all'attuazione delle direttive impartite dal Presidente del Consiglio dei Ministri o dal Ministro delegato per l'innovazione e le tecnologie; </w:t>
      </w:r>
    </w:p>
    <w:p w:rsid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j) pianificazione e coordinamento del processo di diffusione, all'interno dell'amministrazione, dei sistemi di posta elettronica, protocollo informatico, firma digitale o firma elettronica qualificata e mandato informatico e delle norme in materia di accessibilità e fruibilità. </w:t>
      </w:r>
    </w:p>
    <w:p w:rsid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Considerato che: </w:t>
      </w:r>
    </w:p>
    <w:p w:rsidR="00900379" w:rsidRDefault="00900379" w:rsidP="00900379">
      <w:pPr>
        <w:pStyle w:val="Default"/>
        <w:jc w:val="both"/>
        <w:rPr>
          <w:iCs/>
        </w:rPr>
      </w:pPr>
    </w:p>
    <w:p w:rsidR="00576559" w:rsidRDefault="00576559" w:rsidP="00900379">
      <w:pPr>
        <w:pStyle w:val="Default"/>
        <w:jc w:val="both"/>
        <w:rPr>
          <w:iCs/>
        </w:rPr>
      </w:pPr>
      <w:r w:rsidRPr="00900379">
        <w:rPr>
          <w:iCs/>
        </w:rPr>
        <w:t xml:space="preserve">l’alta rilevanza dell’incarico di Responsabile della transizione digitale si connette necessariamente all’organizzazione dell’amministrazione, su cui esso deve poter agire in maniera trasversale, ed assume significato strategico, sia per le iniziative di attuazione delle direttive impartite dal Presidente del Consiglio dei Ministri o dal Ministro delegato per l'innovazione e le tecnologie, sia per le elevate responsabilità connesse; </w:t>
      </w:r>
    </w:p>
    <w:p w:rsidR="00900379" w:rsidRPr="00900379" w:rsidRDefault="00900379" w:rsidP="00900379">
      <w:pPr>
        <w:pStyle w:val="Default"/>
        <w:jc w:val="both"/>
        <w:rPr>
          <w:iCs/>
        </w:rPr>
      </w:pPr>
    </w:p>
    <w:p w:rsidR="00576559" w:rsidRDefault="00576559" w:rsidP="00900379">
      <w:pPr>
        <w:pStyle w:val="Default"/>
        <w:jc w:val="both"/>
        <w:rPr>
          <w:iCs/>
        </w:rPr>
      </w:pPr>
      <w:r w:rsidRPr="00900379">
        <w:rPr>
          <w:iCs/>
        </w:rPr>
        <w:t xml:space="preserve">il responsabile della transizione alla modalità operativa digitale, ai sensi dell’articolo 17 comma 1 ter, è dotato di adeguate competenze tecnologiche, di informatica giuridica e manageriali e risponde, con riferimento ai compiti relativi alla transizione, alla modalità digitale direttamente all'organo di vertice politico; </w:t>
      </w:r>
    </w:p>
    <w:p w:rsidR="00900379" w:rsidRP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pertanto, identificato </w:t>
      </w:r>
      <w:r w:rsidR="00900379">
        <w:rPr>
          <w:iCs/>
        </w:rPr>
        <w:t xml:space="preserve">______________________________________________ </w:t>
      </w:r>
      <w:r w:rsidRPr="00900379">
        <w:rPr>
          <w:iCs/>
        </w:rPr>
        <w:t xml:space="preserve">quale figura atta </w:t>
      </w:r>
      <w:r w:rsidR="00900379">
        <w:rPr>
          <w:iCs/>
        </w:rPr>
        <w:t xml:space="preserve">a </w:t>
      </w:r>
      <w:r w:rsidRPr="00900379">
        <w:rPr>
          <w:iCs/>
        </w:rPr>
        <w:t xml:space="preserve">ricoprire tale ruolo, in relazione alla complessità delle competenze richieste, il Responsabile alla Transizione Digitale dovrà essere supportato da un adeguato Gruppo di Lavoro che possa permettere la copertura delle competenze richieste e lo svolgimento delle attività via via pianificate. Tale gruppo verrà costituito con successivo atto di nomina e risponderà funzionalmente al Responsabile della Transizione Digitale per le tematiche e i compiti relativi alla transizione alla modalità digitale. </w:t>
      </w:r>
    </w:p>
    <w:p w:rsidR="00576559" w:rsidRPr="00900379" w:rsidRDefault="00576559" w:rsidP="00900379">
      <w:pPr>
        <w:pStyle w:val="Default"/>
        <w:jc w:val="both"/>
        <w:rPr>
          <w:iCs/>
        </w:rPr>
      </w:pPr>
    </w:p>
    <w:p w:rsidR="00576559" w:rsidRPr="00900379" w:rsidRDefault="00576559" w:rsidP="00900379">
      <w:pPr>
        <w:pStyle w:val="Default"/>
        <w:jc w:val="both"/>
        <w:rPr>
          <w:iCs/>
        </w:rPr>
      </w:pPr>
      <w:r w:rsidRPr="00900379">
        <w:rPr>
          <w:iCs/>
        </w:rPr>
        <w:t xml:space="preserve">Visto il decreto legislativo 18/08/2000 n. 267 “Testo Unico delle Leggi sull’ordinamento degli enti locali” e </w:t>
      </w:r>
      <w:proofErr w:type="spellStart"/>
      <w:r w:rsidRPr="00900379">
        <w:rPr>
          <w:iCs/>
        </w:rPr>
        <w:t>s.m</w:t>
      </w:r>
      <w:proofErr w:type="spellEnd"/>
      <w:r w:rsidRPr="00900379">
        <w:rPr>
          <w:iCs/>
        </w:rPr>
        <w:t xml:space="preserve">. e i.; </w:t>
      </w:r>
    </w:p>
    <w:p w:rsidR="00576559" w:rsidRPr="00900379" w:rsidRDefault="00576559" w:rsidP="00900379">
      <w:pPr>
        <w:pStyle w:val="Default"/>
        <w:jc w:val="both"/>
        <w:rPr>
          <w:iCs/>
        </w:rPr>
      </w:pPr>
      <w:r w:rsidRPr="00900379">
        <w:rPr>
          <w:iCs/>
        </w:rPr>
        <w:lastRenderedPageBreak/>
        <w:t xml:space="preserve">Dato atto che si prescinde dal parere in ordine alla regolarità contabile in quanto il presente atto non comporta impegno di spesa o diminuzione di entrata ai sensi dell’art.49 del </w:t>
      </w:r>
      <w:proofErr w:type="spellStart"/>
      <w:r w:rsidRPr="00900379">
        <w:rPr>
          <w:iCs/>
        </w:rPr>
        <w:t>D.leg.vo</w:t>
      </w:r>
      <w:proofErr w:type="spellEnd"/>
      <w:r w:rsidRPr="00900379">
        <w:rPr>
          <w:iCs/>
        </w:rPr>
        <w:t xml:space="preserve"> 267/2000; </w:t>
      </w:r>
    </w:p>
    <w:p w:rsidR="00900379" w:rsidRDefault="00900379" w:rsidP="00900379">
      <w:pPr>
        <w:pStyle w:val="Default"/>
        <w:jc w:val="both"/>
        <w:rPr>
          <w:iCs/>
        </w:rPr>
      </w:pPr>
    </w:p>
    <w:p w:rsidR="00576559" w:rsidRPr="00900379" w:rsidRDefault="00576559" w:rsidP="00900379">
      <w:pPr>
        <w:pStyle w:val="Default"/>
        <w:jc w:val="both"/>
        <w:rPr>
          <w:iCs/>
        </w:rPr>
      </w:pPr>
      <w:r w:rsidRPr="00900379">
        <w:rPr>
          <w:iCs/>
        </w:rPr>
        <w:t xml:space="preserve">Visto il parere tecnico, favorevole, espresso ai sensi dell’art. 49 del D. </w:t>
      </w:r>
      <w:proofErr w:type="spellStart"/>
      <w:r w:rsidRPr="00900379">
        <w:rPr>
          <w:iCs/>
        </w:rPr>
        <w:t>Lgs.vo</w:t>
      </w:r>
      <w:proofErr w:type="spellEnd"/>
      <w:r w:rsidRPr="00900379">
        <w:rPr>
          <w:iCs/>
        </w:rPr>
        <w:t xml:space="preserve"> n. 267/2000;</w:t>
      </w:r>
    </w:p>
    <w:p w:rsidR="00900379" w:rsidRDefault="00900379" w:rsidP="00576559">
      <w:pPr>
        <w:pStyle w:val="Default"/>
      </w:pPr>
    </w:p>
    <w:p w:rsidR="00576559" w:rsidRPr="00576559" w:rsidRDefault="00576559" w:rsidP="00576559">
      <w:pPr>
        <w:pStyle w:val="Default"/>
      </w:pPr>
      <w:r w:rsidRPr="00576559">
        <w:t xml:space="preserve">Con voti favorevoli, unanimi e palesi; </w:t>
      </w:r>
    </w:p>
    <w:p w:rsidR="00900379" w:rsidRDefault="00900379" w:rsidP="00576559">
      <w:pPr>
        <w:pStyle w:val="Default"/>
        <w:rPr>
          <w:b/>
          <w:bCs/>
        </w:rPr>
      </w:pPr>
    </w:p>
    <w:p w:rsidR="00576559" w:rsidRPr="00576559" w:rsidRDefault="00576559" w:rsidP="00576559">
      <w:pPr>
        <w:pStyle w:val="Default"/>
      </w:pPr>
      <w:r w:rsidRPr="00576559">
        <w:rPr>
          <w:b/>
          <w:bCs/>
        </w:rPr>
        <w:t xml:space="preserve">DELIBERA </w:t>
      </w:r>
    </w:p>
    <w:p w:rsidR="00900379" w:rsidRDefault="00900379" w:rsidP="00576559">
      <w:pPr>
        <w:pStyle w:val="Default"/>
        <w:spacing w:after="267"/>
      </w:pPr>
    </w:p>
    <w:p w:rsidR="00576559" w:rsidRPr="00576559" w:rsidRDefault="00576559" w:rsidP="00900379">
      <w:pPr>
        <w:pStyle w:val="Default"/>
        <w:spacing w:after="267"/>
        <w:jc w:val="both"/>
      </w:pPr>
      <w:r w:rsidRPr="00576559">
        <w:t xml:space="preserve">1. di approvare le premesse e l’intera narrativa quali parti integranti e sostanziale del dispositivo; </w:t>
      </w:r>
    </w:p>
    <w:p w:rsidR="00576559" w:rsidRPr="00576559" w:rsidRDefault="00576559" w:rsidP="00900379">
      <w:pPr>
        <w:pStyle w:val="Default"/>
        <w:spacing w:after="267"/>
        <w:jc w:val="both"/>
      </w:pPr>
      <w:r w:rsidRPr="00576559">
        <w:t xml:space="preserve">2. di nominare conseguentemente, ai sensi dell’articolo 17, comma 1 ter del rinnovato decreto legislativo 82/2005 (Codice dell’Amministrazione Digitale), </w:t>
      </w:r>
      <w:r w:rsidR="00900379">
        <w:t>_________________________________________</w:t>
      </w:r>
      <w:r w:rsidRPr="00576559">
        <w:t xml:space="preserve">, quale Responsabile della transizione alla modalità operativa digitale, cui sono affidati i compiti di conduzione del processo di transizione alla modalità operativa digitale e dei conseguenti processi di riorganizzazione, finalizzati alla realizzazione di un'amministrazione digitale e aperta, di servizi facilmente utilizzabili e di qualità, attraverso una maggiore efficienza ed economicità; </w:t>
      </w:r>
    </w:p>
    <w:p w:rsidR="00576559" w:rsidRPr="00576559" w:rsidRDefault="00576559" w:rsidP="00900379">
      <w:pPr>
        <w:pStyle w:val="Default"/>
        <w:spacing w:after="267"/>
        <w:jc w:val="both"/>
      </w:pPr>
      <w:r w:rsidRPr="00576559">
        <w:t xml:space="preserve">3. di precisare che a tale incarico non sono connessi ulteriori emolumenti retributivi; </w:t>
      </w:r>
    </w:p>
    <w:p w:rsidR="00576559" w:rsidRPr="00576559" w:rsidRDefault="00576559" w:rsidP="00900379">
      <w:pPr>
        <w:pStyle w:val="Default"/>
        <w:spacing w:after="267"/>
        <w:jc w:val="both"/>
      </w:pPr>
      <w:r w:rsidRPr="00576559">
        <w:t xml:space="preserve">4. di dare atto che il Responsabile della transizione alla modalità operativa digitale risponde al all'organo di vertice politico con riferimento ai compiti relativi alla transizione, alla modalità digitale; </w:t>
      </w:r>
    </w:p>
    <w:p w:rsidR="00576559" w:rsidRPr="00576559" w:rsidRDefault="00576559" w:rsidP="00900379">
      <w:pPr>
        <w:pStyle w:val="Default"/>
        <w:spacing w:after="267"/>
        <w:jc w:val="both"/>
      </w:pPr>
      <w:r w:rsidRPr="00576559">
        <w:t xml:space="preserve">5. di dare atto che con successivo separato atto verranno identificate le risorse adeguate per la costituzione del Team di lavoro per la transizione al Digitale di cui il Responsabile della transizione alla modalità operativa digitale si avvarrà per l’adempimento dei compiti connessi a tale incarico. </w:t>
      </w:r>
    </w:p>
    <w:p w:rsidR="00576559" w:rsidRPr="00576559" w:rsidRDefault="00576559" w:rsidP="00900379">
      <w:pPr>
        <w:pStyle w:val="Default"/>
        <w:jc w:val="both"/>
      </w:pPr>
      <w:r w:rsidRPr="00576559">
        <w:t xml:space="preserve">6. di dichiarare, con successiva e separata votazione favorevole, unanime e palese la presente deliberazione immediatamente eseguibile, ai sensi e per gli effetti di cui all’art. 134, comma 4, del D. Lgs 18.08.2000 n. 267 stante l’urgenza di dare seguito al presente provvedimento. </w:t>
      </w:r>
    </w:p>
    <w:p w:rsidR="00576559" w:rsidRPr="00576559" w:rsidRDefault="00576559" w:rsidP="00576559">
      <w:pPr>
        <w:rPr>
          <w:sz w:val="24"/>
          <w:szCs w:val="24"/>
        </w:rPr>
      </w:pPr>
    </w:p>
    <w:sectPr w:rsidR="00576559" w:rsidRPr="00576559" w:rsidSect="00DF6A8D">
      <w:pgSz w:w="11906" w:h="17338"/>
      <w:pgMar w:top="993" w:right="789" w:bottom="1302" w:left="11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59"/>
    <w:rsid w:val="00576559"/>
    <w:rsid w:val="00900379"/>
    <w:rsid w:val="00944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69E6"/>
  <w15:chartTrackingRefBased/>
  <w15:docId w15:val="{952F60E7-F904-4D7C-A44D-DBE5C66C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765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cmancino@asmenet.it</dc:creator>
  <cp:keywords/>
  <dc:description/>
  <cp:lastModifiedBy>cmancino@asmenet.it</cp:lastModifiedBy>
  <cp:revision>2</cp:revision>
  <dcterms:created xsi:type="dcterms:W3CDTF">2018-10-12T10:11:00Z</dcterms:created>
  <dcterms:modified xsi:type="dcterms:W3CDTF">2018-10-12T10:31:00Z</dcterms:modified>
</cp:coreProperties>
</file>